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0C" w:rsidRPr="00BD561E" w:rsidRDefault="00E65E0C" w:rsidP="00E65E0C">
      <w:pPr>
        <w:spacing w:after="0" w:line="240" w:lineRule="auto"/>
        <w:ind w:firstLine="567"/>
        <w:jc w:val="center"/>
        <w:rPr>
          <w:b/>
          <w:sz w:val="28"/>
          <w:szCs w:val="28"/>
        </w:rPr>
      </w:pPr>
      <w:bookmarkStart w:id="0" w:name="_ref_300807"/>
      <w:r w:rsidRPr="00BD561E">
        <w:rPr>
          <w:b/>
          <w:sz w:val="28"/>
          <w:szCs w:val="28"/>
        </w:rPr>
        <w:t>Учетная политика на 202</w:t>
      </w:r>
      <w:r w:rsidR="003430FC">
        <w:rPr>
          <w:b/>
          <w:sz w:val="28"/>
          <w:szCs w:val="28"/>
        </w:rPr>
        <w:t>2</w:t>
      </w:r>
      <w:r w:rsidRPr="00BD561E">
        <w:rPr>
          <w:b/>
          <w:sz w:val="28"/>
          <w:szCs w:val="28"/>
        </w:rPr>
        <w:t xml:space="preserve"> финансовый год </w:t>
      </w:r>
    </w:p>
    <w:p w:rsidR="00E65E0C" w:rsidRPr="00BD561E" w:rsidRDefault="00E65E0C" w:rsidP="00E65E0C">
      <w:pPr>
        <w:spacing w:after="0" w:line="240" w:lineRule="auto"/>
        <w:ind w:firstLine="567"/>
        <w:jc w:val="center"/>
        <w:rPr>
          <w:b/>
          <w:sz w:val="28"/>
          <w:szCs w:val="28"/>
        </w:rPr>
      </w:pPr>
      <w:r w:rsidRPr="00BD561E">
        <w:rPr>
          <w:b/>
          <w:sz w:val="28"/>
          <w:szCs w:val="28"/>
        </w:rPr>
        <w:t>(с учетом изменений)</w:t>
      </w:r>
    </w:p>
    <w:p w:rsidR="00E65E0C" w:rsidRPr="00BD561E" w:rsidRDefault="00E65E0C" w:rsidP="00E65E0C">
      <w:pPr>
        <w:spacing w:after="0" w:line="240" w:lineRule="auto"/>
        <w:ind w:firstLine="567"/>
        <w:rPr>
          <w:sz w:val="28"/>
          <w:szCs w:val="28"/>
        </w:rPr>
      </w:pPr>
    </w:p>
    <w:p w:rsidR="00E65E0C" w:rsidRDefault="00E65E0C" w:rsidP="00E65E0C">
      <w:pPr>
        <w:spacing w:after="0" w:line="240" w:lineRule="auto"/>
        <w:ind w:firstLine="567"/>
        <w:rPr>
          <w:sz w:val="28"/>
          <w:szCs w:val="28"/>
        </w:rPr>
      </w:pPr>
      <w:r w:rsidRPr="00BD561E">
        <w:rPr>
          <w:sz w:val="28"/>
          <w:szCs w:val="28"/>
        </w:rPr>
        <w:t xml:space="preserve">Учетная политика для целей бюджетного учета Департамента конкурсов и аукционов Ивановской области (распоряжение Департамента конкурсов и аукционов Ивановской области от </w:t>
      </w:r>
      <w:r w:rsidRPr="00BD561E">
        <w:rPr>
          <w:color w:val="FF0000"/>
          <w:sz w:val="28"/>
          <w:szCs w:val="28"/>
        </w:rPr>
        <w:t>«</w:t>
      </w:r>
      <w:r>
        <w:rPr>
          <w:color w:val="FF0000"/>
          <w:sz w:val="28"/>
          <w:szCs w:val="28"/>
        </w:rPr>
        <w:t xml:space="preserve">30» декабря </w:t>
      </w:r>
      <w:r w:rsidRPr="00BD561E">
        <w:rPr>
          <w:color w:val="FF0000"/>
          <w:sz w:val="28"/>
          <w:szCs w:val="28"/>
        </w:rPr>
        <w:t>202</w:t>
      </w:r>
      <w:r w:rsidR="003430FC">
        <w:rPr>
          <w:color w:val="FF0000"/>
          <w:sz w:val="28"/>
          <w:szCs w:val="28"/>
        </w:rPr>
        <w:t>1</w:t>
      </w:r>
      <w:r w:rsidRPr="00BD561E">
        <w:rPr>
          <w:color w:val="FF0000"/>
          <w:sz w:val="28"/>
          <w:szCs w:val="28"/>
        </w:rPr>
        <w:t xml:space="preserve"> №</w:t>
      </w:r>
      <w:r>
        <w:rPr>
          <w:color w:val="FF0000"/>
          <w:sz w:val="28"/>
          <w:szCs w:val="28"/>
        </w:rPr>
        <w:t xml:space="preserve"> </w:t>
      </w:r>
      <w:r w:rsidR="00E87040">
        <w:rPr>
          <w:color w:val="FF0000"/>
          <w:sz w:val="28"/>
          <w:szCs w:val="28"/>
        </w:rPr>
        <w:t>107</w:t>
      </w:r>
      <w:bookmarkStart w:id="1" w:name="_GoBack"/>
      <w:bookmarkEnd w:id="1"/>
      <w:r w:rsidR="003430FC">
        <w:rPr>
          <w:color w:val="FF0000"/>
          <w:sz w:val="28"/>
          <w:szCs w:val="28"/>
        </w:rPr>
        <w:t xml:space="preserve">-ОД </w:t>
      </w:r>
      <w:r w:rsidRPr="00BD561E">
        <w:rPr>
          <w:sz w:val="28"/>
          <w:szCs w:val="28"/>
        </w:rPr>
        <w:t>«Об утверждении Учетной политики для целей бюджетного учета Департамента конкурсов и аукционов Ивановской области») разработана на основании следующих нормативных актов:</w:t>
      </w:r>
    </w:p>
    <w:bookmarkEnd w:id="0"/>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Бюджетный </w:t>
      </w:r>
      <w:hyperlink r:id="rId6" w:history="1">
        <w:r w:rsidRPr="00007C7D">
          <w:rPr>
            <w:rStyle w:val="a4"/>
            <w:sz w:val="28"/>
            <w:szCs w:val="28"/>
          </w:rPr>
          <w:t>кодекс</w:t>
        </w:r>
      </w:hyperlink>
      <w:r w:rsidRPr="00007C7D">
        <w:rPr>
          <w:sz w:val="28"/>
          <w:szCs w:val="28"/>
        </w:rPr>
        <w:t xml:space="preserve"> РФ (далее - БК РФ);</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7" w:history="1">
        <w:r w:rsidRPr="00007C7D">
          <w:rPr>
            <w:rStyle w:val="a4"/>
            <w:sz w:val="28"/>
            <w:szCs w:val="28"/>
          </w:rPr>
          <w:t>закон</w:t>
        </w:r>
      </w:hyperlink>
      <w:r w:rsidRPr="00007C7D">
        <w:rPr>
          <w:sz w:val="28"/>
          <w:szCs w:val="28"/>
        </w:rPr>
        <w:t xml:space="preserve"> от 06.12.2011 № 402-ФЗ "О бухгалтерском учете" (далее - Закон № 402-ФЗ);</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8"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sidRPr="00007C7D">
          <w:rPr>
            <w:rStyle w:val="a4"/>
            <w:sz w:val="28"/>
            <w:szCs w:val="28"/>
          </w:rPr>
          <w:t>СГС</w:t>
        </w:r>
      </w:hyperlink>
      <w:r w:rsidRPr="00007C7D">
        <w:rPr>
          <w:sz w:val="28"/>
          <w:szCs w:val="28"/>
        </w:rPr>
        <w:t xml:space="preserve"> "Концептуальные основы");</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10"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sidRPr="00007C7D">
          <w:rPr>
            <w:rStyle w:val="a4"/>
            <w:sz w:val="28"/>
            <w:szCs w:val="28"/>
          </w:rPr>
          <w:t>СГС</w:t>
        </w:r>
      </w:hyperlink>
      <w:r w:rsidRPr="00007C7D">
        <w:rPr>
          <w:sz w:val="28"/>
          <w:szCs w:val="28"/>
        </w:rPr>
        <w:t xml:space="preserve"> "Основные средства");</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12"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3" w:history="1">
        <w:r w:rsidRPr="00007C7D">
          <w:rPr>
            <w:rStyle w:val="a4"/>
            <w:sz w:val="28"/>
            <w:szCs w:val="28"/>
          </w:rPr>
          <w:t>СГС</w:t>
        </w:r>
      </w:hyperlink>
      <w:r w:rsidRPr="00007C7D">
        <w:rPr>
          <w:sz w:val="28"/>
          <w:szCs w:val="28"/>
        </w:rPr>
        <w:t xml:space="preserve"> "Аренда");</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14"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5" w:history="1">
        <w:r w:rsidRPr="00007C7D">
          <w:rPr>
            <w:rStyle w:val="a4"/>
            <w:sz w:val="28"/>
            <w:szCs w:val="28"/>
          </w:rPr>
          <w:t>СГС</w:t>
        </w:r>
      </w:hyperlink>
      <w:r w:rsidRPr="00007C7D">
        <w:rPr>
          <w:sz w:val="28"/>
          <w:szCs w:val="28"/>
        </w:rPr>
        <w:t xml:space="preserve"> "Обесценение активов");</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16"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7" w:history="1">
        <w:r w:rsidRPr="00007C7D">
          <w:rPr>
            <w:rStyle w:val="a4"/>
            <w:sz w:val="28"/>
            <w:szCs w:val="28"/>
          </w:rPr>
          <w:t>СГС</w:t>
        </w:r>
      </w:hyperlink>
      <w:r w:rsidRPr="00007C7D">
        <w:rPr>
          <w:sz w:val="28"/>
          <w:szCs w:val="28"/>
        </w:rPr>
        <w:t xml:space="preserve"> "Представление отчетности");</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18"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"Отчет о движении денежных средств", утвержденный</w:t>
      </w:r>
    </w:p>
    <w:p w:rsidR="00E65E0C" w:rsidRPr="00007C7D" w:rsidRDefault="00E65E0C" w:rsidP="00E65E0C">
      <w:pPr>
        <w:pStyle w:val="a3"/>
        <w:spacing w:before="0" w:after="0" w:line="240" w:lineRule="auto"/>
        <w:ind w:left="567" w:firstLine="0"/>
        <w:jc w:val="both"/>
        <w:rPr>
          <w:sz w:val="28"/>
          <w:szCs w:val="28"/>
        </w:rPr>
      </w:pPr>
    </w:p>
    <w:p w:rsidR="00E65E0C" w:rsidRPr="00007C7D" w:rsidRDefault="00E65E0C" w:rsidP="00E65E0C">
      <w:pPr>
        <w:pStyle w:val="a3"/>
        <w:spacing w:before="0" w:after="0" w:line="240" w:lineRule="auto"/>
        <w:ind w:firstLine="0"/>
        <w:jc w:val="both"/>
        <w:rPr>
          <w:sz w:val="28"/>
          <w:szCs w:val="28"/>
        </w:rPr>
      </w:pPr>
      <w:r w:rsidRPr="00007C7D">
        <w:rPr>
          <w:sz w:val="28"/>
          <w:szCs w:val="28"/>
        </w:rPr>
        <w:t xml:space="preserve">Приказом Минфина России от 30.12.2017 № 278н (далее - </w:t>
      </w:r>
      <w:hyperlink r:id="rId19" w:history="1">
        <w:r w:rsidRPr="00007C7D">
          <w:rPr>
            <w:rStyle w:val="a4"/>
            <w:sz w:val="28"/>
            <w:szCs w:val="28"/>
          </w:rPr>
          <w:t>СГС</w:t>
        </w:r>
      </w:hyperlink>
      <w:r w:rsidRPr="00007C7D">
        <w:rPr>
          <w:sz w:val="28"/>
          <w:szCs w:val="28"/>
        </w:rPr>
        <w:t xml:space="preserve"> "Отчет о движении денежных средств");</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20"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1" w:history="1">
        <w:r w:rsidRPr="00007C7D">
          <w:rPr>
            <w:rStyle w:val="a4"/>
            <w:sz w:val="28"/>
            <w:szCs w:val="28"/>
          </w:rPr>
          <w:t>СГС</w:t>
        </w:r>
      </w:hyperlink>
      <w:r w:rsidRPr="00007C7D">
        <w:rPr>
          <w:sz w:val="28"/>
          <w:szCs w:val="28"/>
        </w:rPr>
        <w:t xml:space="preserve"> "Учетная политика");</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22"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"События после отчетной даты", утвержденный </w:t>
      </w:r>
      <w:r w:rsidRPr="00007C7D">
        <w:rPr>
          <w:sz w:val="28"/>
          <w:szCs w:val="28"/>
        </w:rPr>
        <w:lastRenderedPageBreak/>
        <w:t xml:space="preserve">Приказом Минфина России от 30.12.2017 № 275н (далее - </w:t>
      </w:r>
      <w:hyperlink r:id="rId23" w:history="1">
        <w:r w:rsidRPr="00007C7D">
          <w:rPr>
            <w:rStyle w:val="a4"/>
            <w:sz w:val="28"/>
            <w:szCs w:val="28"/>
          </w:rPr>
          <w:t>СГС</w:t>
        </w:r>
      </w:hyperlink>
      <w:r w:rsidRPr="00007C7D">
        <w:rPr>
          <w:sz w:val="28"/>
          <w:szCs w:val="28"/>
        </w:rPr>
        <w:t xml:space="preserve"> "События после отчетной даты");</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24"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5" w:history="1">
        <w:r w:rsidRPr="00007C7D">
          <w:rPr>
            <w:rStyle w:val="a4"/>
            <w:sz w:val="28"/>
            <w:szCs w:val="28"/>
          </w:rPr>
          <w:t>СГС</w:t>
        </w:r>
      </w:hyperlink>
      <w:r w:rsidRPr="00007C7D">
        <w:rPr>
          <w:sz w:val="28"/>
          <w:szCs w:val="28"/>
        </w:rPr>
        <w:t xml:space="preserve"> "Доходы");</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Федеральный </w:t>
      </w:r>
      <w:hyperlink r:id="rId26"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7" w:history="1">
        <w:r w:rsidRPr="00007C7D">
          <w:rPr>
            <w:rStyle w:val="a4"/>
            <w:sz w:val="28"/>
            <w:szCs w:val="28"/>
          </w:rPr>
          <w:t>СГС</w:t>
        </w:r>
      </w:hyperlink>
      <w:r w:rsidRPr="00007C7D">
        <w:rPr>
          <w:sz w:val="28"/>
          <w:szCs w:val="28"/>
        </w:rPr>
        <w:t xml:space="preserve"> "Влияние изменений курсов иностранных валют");</w:t>
      </w:r>
    </w:p>
    <w:p w:rsidR="00E65E0C" w:rsidRPr="00007C7D" w:rsidRDefault="00E65E0C" w:rsidP="00E65E0C">
      <w:pPr>
        <w:numPr>
          <w:ilvl w:val="0"/>
          <w:numId w:val="2"/>
        </w:numPr>
        <w:autoSpaceDE w:val="0"/>
        <w:autoSpaceDN w:val="0"/>
        <w:adjustRightInd w:val="0"/>
        <w:spacing w:before="0" w:after="0" w:line="240" w:lineRule="auto"/>
        <w:ind w:firstLine="426"/>
        <w:rPr>
          <w:sz w:val="28"/>
          <w:szCs w:val="28"/>
        </w:rPr>
      </w:pPr>
      <w:r w:rsidRPr="00007C7D">
        <w:rPr>
          <w:sz w:val="28"/>
          <w:szCs w:val="28"/>
        </w:rPr>
        <w:t xml:space="preserve">Федеральный </w:t>
      </w:r>
      <w:hyperlink r:id="rId28"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«Запасы» утвержденный приказом Минфина России от 07.12.2018 № 256н,</w:t>
      </w:r>
    </w:p>
    <w:p w:rsidR="00E65E0C" w:rsidRPr="00007C7D" w:rsidRDefault="00E65E0C" w:rsidP="00E65E0C">
      <w:pPr>
        <w:keepNext/>
        <w:keepLines/>
        <w:numPr>
          <w:ilvl w:val="0"/>
          <w:numId w:val="2"/>
        </w:numPr>
        <w:autoSpaceDE w:val="0"/>
        <w:autoSpaceDN w:val="0"/>
        <w:adjustRightInd w:val="0"/>
        <w:spacing w:before="0" w:after="0" w:line="240" w:lineRule="auto"/>
        <w:ind w:firstLine="426"/>
        <w:rPr>
          <w:sz w:val="28"/>
          <w:szCs w:val="28"/>
        </w:rPr>
      </w:pPr>
      <w:r w:rsidRPr="00007C7D">
        <w:rPr>
          <w:sz w:val="28"/>
          <w:szCs w:val="28"/>
        </w:rPr>
        <w:t xml:space="preserve">Федеральный </w:t>
      </w:r>
      <w:hyperlink r:id="rId29" w:history="1">
        <w:r w:rsidRPr="00007C7D">
          <w:rPr>
            <w:color w:val="0000FF"/>
            <w:sz w:val="28"/>
            <w:szCs w:val="28"/>
          </w:rPr>
          <w:t>стандарт</w:t>
        </w:r>
      </w:hyperlink>
      <w:r w:rsidRPr="00007C7D">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w:t>
      </w:r>
    </w:p>
    <w:p w:rsidR="00E65E0C" w:rsidRPr="00007C7D" w:rsidRDefault="00E65E0C" w:rsidP="00E65E0C">
      <w:pPr>
        <w:keepNext/>
        <w:keepLines/>
        <w:numPr>
          <w:ilvl w:val="0"/>
          <w:numId w:val="2"/>
        </w:numPr>
        <w:autoSpaceDE w:val="0"/>
        <w:autoSpaceDN w:val="0"/>
        <w:adjustRightInd w:val="0"/>
        <w:spacing w:before="0" w:after="0" w:line="240" w:lineRule="auto"/>
        <w:ind w:firstLine="567"/>
        <w:rPr>
          <w:sz w:val="28"/>
          <w:szCs w:val="28"/>
        </w:rPr>
      </w:pPr>
      <w:r w:rsidRPr="00007C7D">
        <w:rPr>
          <w:sz w:val="28"/>
          <w:szCs w:val="28"/>
        </w:rPr>
        <w:t xml:space="preserve">Федеральный </w:t>
      </w:r>
      <w:hyperlink r:id="rId30" w:history="1">
        <w:r w:rsidRPr="00007C7D">
          <w:rPr>
            <w:color w:val="0000FF"/>
            <w:sz w:val="28"/>
            <w:szCs w:val="28"/>
          </w:rPr>
          <w:t>стандарт</w:t>
        </w:r>
      </w:hyperlink>
      <w:r w:rsidRPr="00007C7D">
        <w:rPr>
          <w:color w:val="0000FF"/>
          <w:sz w:val="28"/>
          <w:szCs w:val="28"/>
        </w:rPr>
        <w:t xml:space="preserve"> </w:t>
      </w:r>
      <w:r w:rsidRPr="00007C7D">
        <w:rPr>
          <w:sz w:val="28"/>
          <w:szCs w:val="28"/>
        </w:rPr>
        <w:t>бухгалтерского учета для организаций государственного сектора «Выплаты персоналу», утвержденный приказом Минфина России от 15.11.2019 № 184н,</w:t>
      </w:r>
    </w:p>
    <w:p w:rsidR="00E65E0C" w:rsidRPr="00007C7D" w:rsidRDefault="00E65E0C" w:rsidP="00E65E0C">
      <w:pPr>
        <w:keepNext/>
        <w:keepLines/>
        <w:numPr>
          <w:ilvl w:val="0"/>
          <w:numId w:val="2"/>
        </w:numPr>
        <w:autoSpaceDE w:val="0"/>
        <w:autoSpaceDN w:val="0"/>
        <w:adjustRightInd w:val="0"/>
        <w:spacing w:before="0" w:after="0" w:line="240" w:lineRule="auto"/>
        <w:ind w:firstLine="426"/>
        <w:rPr>
          <w:sz w:val="28"/>
          <w:szCs w:val="28"/>
        </w:rPr>
      </w:pPr>
      <w:r w:rsidRPr="00007C7D">
        <w:rPr>
          <w:sz w:val="28"/>
          <w:szCs w:val="28"/>
        </w:rPr>
        <w:t xml:space="preserve">Федеральный </w:t>
      </w:r>
      <w:hyperlink r:id="rId31" w:history="1">
        <w:r w:rsidRPr="00007C7D">
          <w:rPr>
            <w:color w:val="0000FF"/>
            <w:sz w:val="28"/>
            <w:szCs w:val="28"/>
          </w:rPr>
          <w:t>стандарт</w:t>
        </w:r>
      </w:hyperlink>
      <w:r w:rsidRPr="00007C7D">
        <w:rPr>
          <w:color w:val="0000FF"/>
          <w:sz w:val="28"/>
          <w:szCs w:val="28"/>
        </w:rPr>
        <w:t xml:space="preserve"> </w:t>
      </w:r>
      <w:r w:rsidRPr="00007C7D">
        <w:rPr>
          <w:sz w:val="28"/>
          <w:szCs w:val="28"/>
        </w:rPr>
        <w:t xml:space="preserve">бухгалтерского учета для организаций государственного сектора «Финансовые инструменты», Приказ Минфина России от 30.06.2020 № 129н, </w:t>
      </w:r>
    </w:p>
    <w:p w:rsidR="00E65E0C" w:rsidRPr="00007C7D" w:rsidRDefault="00E65E0C" w:rsidP="00E65E0C">
      <w:pPr>
        <w:keepNext/>
        <w:keepLines/>
        <w:numPr>
          <w:ilvl w:val="0"/>
          <w:numId w:val="2"/>
        </w:numPr>
        <w:autoSpaceDE w:val="0"/>
        <w:autoSpaceDN w:val="0"/>
        <w:adjustRightInd w:val="0"/>
        <w:spacing w:before="0" w:after="0" w:line="240" w:lineRule="auto"/>
        <w:ind w:firstLine="426"/>
        <w:rPr>
          <w:sz w:val="28"/>
          <w:szCs w:val="28"/>
        </w:rPr>
      </w:pPr>
      <w:r w:rsidRPr="00007C7D">
        <w:rPr>
          <w:sz w:val="28"/>
          <w:szCs w:val="28"/>
        </w:rPr>
        <w:t xml:space="preserve">Федеральный стандарт бухгалтерского учета «Нематериальные активы", утвержденный приказом Минфина России от 15.11.2019 № 181н, </w:t>
      </w:r>
    </w:p>
    <w:p w:rsidR="00E65E0C" w:rsidRPr="00007C7D" w:rsidRDefault="00E65E0C" w:rsidP="00E65E0C">
      <w:pPr>
        <w:keepNext/>
        <w:keepLines/>
        <w:numPr>
          <w:ilvl w:val="0"/>
          <w:numId w:val="2"/>
        </w:numPr>
        <w:autoSpaceDE w:val="0"/>
        <w:autoSpaceDN w:val="0"/>
        <w:adjustRightInd w:val="0"/>
        <w:spacing w:before="0" w:after="0" w:line="240" w:lineRule="auto"/>
        <w:ind w:firstLine="426"/>
        <w:rPr>
          <w:sz w:val="28"/>
          <w:szCs w:val="28"/>
        </w:rPr>
      </w:pPr>
      <w:r w:rsidRPr="00007C7D">
        <w:rPr>
          <w:sz w:val="28"/>
          <w:szCs w:val="28"/>
        </w:rPr>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t xml:space="preserve">Единый </w:t>
      </w:r>
      <w:hyperlink r:id="rId32" w:history="1">
        <w:r w:rsidRPr="00007C7D">
          <w:rPr>
            <w:rStyle w:val="a4"/>
            <w:sz w:val="28"/>
            <w:szCs w:val="28"/>
          </w:rPr>
          <w:t>план</w:t>
        </w:r>
      </w:hyperlink>
      <w:r w:rsidRPr="00007C7D">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sidRPr="00007C7D">
          <w:rPr>
            <w:rStyle w:val="a4"/>
            <w:sz w:val="28"/>
            <w:szCs w:val="28"/>
          </w:rPr>
          <w:t>план</w:t>
        </w:r>
      </w:hyperlink>
      <w:r w:rsidRPr="00007C7D">
        <w:rPr>
          <w:sz w:val="28"/>
          <w:szCs w:val="28"/>
        </w:rPr>
        <w:t xml:space="preserve"> счетов);</w:t>
      </w:r>
    </w:p>
    <w:p w:rsidR="00E65E0C" w:rsidRPr="00007C7D" w:rsidRDefault="00E87040" w:rsidP="00E65E0C">
      <w:pPr>
        <w:pStyle w:val="a3"/>
        <w:numPr>
          <w:ilvl w:val="0"/>
          <w:numId w:val="2"/>
        </w:numPr>
        <w:spacing w:before="0" w:after="0" w:line="240" w:lineRule="auto"/>
        <w:ind w:firstLine="567"/>
        <w:jc w:val="both"/>
        <w:rPr>
          <w:sz w:val="28"/>
          <w:szCs w:val="28"/>
        </w:rPr>
      </w:pPr>
      <w:hyperlink r:id="rId34" w:history="1">
        <w:r w:rsidR="00E65E0C" w:rsidRPr="00007C7D">
          <w:rPr>
            <w:rStyle w:val="a4"/>
            <w:sz w:val="28"/>
            <w:szCs w:val="28"/>
          </w:rPr>
          <w:t>Инструкция</w:t>
        </w:r>
      </w:hyperlink>
      <w:r w:rsidR="00E65E0C" w:rsidRPr="00007C7D">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5" w:history="1">
        <w:r w:rsidR="00E65E0C" w:rsidRPr="00007C7D">
          <w:rPr>
            <w:rStyle w:val="a4"/>
            <w:sz w:val="28"/>
            <w:szCs w:val="28"/>
          </w:rPr>
          <w:t>Инструкция</w:t>
        </w:r>
      </w:hyperlink>
      <w:r w:rsidR="00E65E0C" w:rsidRPr="00007C7D">
        <w:rPr>
          <w:sz w:val="28"/>
          <w:szCs w:val="28"/>
        </w:rPr>
        <w:t xml:space="preserve"> № 157н);</w:t>
      </w:r>
    </w:p>
    <w:p w:rsidR="00E65E0C" w:rsidRPr="00007C7D" w:rsidRDefault="00E87040" w:rsidP="00E65E0C">
      <w:pPr>
        <w:pStyle w:val="a3"/>
        <w:numPr>
          <w:ilvl w:val="0"/>
          <w:numId w:val="2"/>
        </w:numPr>
        <w:spacing w:before="0" w:after="0" w:line="240" w:lineRule="auto"/>
        <w:ind w:firstLine="567"/>
        <w:jc w:val="both"/>
        <w:rPr>
          <w:sz w:val="28"/>
          <w:szCs w:val="28"/>
        </w:rPr>
      </w:pPr>
      <w:hyperlink r:id="rId36" w:history="1">
        <w:r w:rsidR="00E65E0C" w:rsidRPr="00007C7D">
          <w:rPr>
            <w:rStyle w:val="a4"/>
            <w:sz w:val="28"/>
            <w:szCs w:val="28"/>
          </w:rPr>
          <w:t>План</w:t>
        </w:r>
      </w:hyperlink>
      <w:r w:rsidR="00E65E0C" w:rsidRPr="00007C7D">
        <w:rPr>
          <w:sz w:val="28"/>
          <w:szCs w:val="28"/>
        </w:rPr>
        <w:t xml:space="preserve"> счетов бюджетного учета, утвержденный Приказом Минфина России от 06.12.2010 № 162н (далее - </w:t>
      </w:r>
      <w:hyperlink r:id="rId37" w:history="1">
        <w:r w:rsidR="00E65E0C" w:rsidRPr="00007C7D">
          <w:rPr>
            <w:rStyle w:val="a4"/>
            <w:sz w:val="28"/>
            <w:szCs w:val="28"/>
          </w:rPr>
          <w:t>План</w:t>
        </w:r>
      </w:hyperlink>
      <w:r w:rsidR="00E65E0C" w:rsidRPr="00007C7D">
        <w:rPr>
          <w:sz w:val="28"/>
          <w:szCs w:val="28"/>
        </w:rPr>
        <w:t xml:space="preserve"> счетов бюджетного учета);</w:t>
      </w:r>
    </w:p>
    <w:p w:rsidR="00E65E0C" w:rsidRPr="00007C7D" w:rsidRDefault="00E87040" w:rsidP="00E65E0C">
      <w:pPr>
        <w:pStyle w:val="a3"/>
        <w:numPr>
          <w:ilvl w:val="0"/>
          <w:numId w:val="2"/>
        </w:numPr>
        <w:spacing w:before="0" w:after="0" w:line="240" w:lineRule="auto"/>
        <w:ind w:firstLine="567"/>
        <w:jc w:val="both"/>
        <w:rPr>
          <w:sz w:val="28"/>
          <w:szCs w:val="28"/>
        </w:rPr>
      </w:pPr>
      <w:hyperlink r:id="rId38" w:history="1">
        <w:r w:rsidR="00E65E0C" w:rsidRPr="00007C7D">
          <w:rPr>
            <w:rStyle w:val="a4"/>
            <w:sz w:val="28"/>
            <w:szCs w:val="28"/>
          </w:rPr>
          <w:t>Инструкция</w:t>
        </w:r>
      </w:hyperlink>
      <w:r w:rsidR="00E65E0C" w:rsidRPr="00007C7D">
        <w:rPr>
          <w:sz w:val="28"/>
          <w:szCs w:val="28"/>
        </w:rPr>
        <w:t xml:space="preserve"> по применению Плана счетов бюджетного учета, утвержденная Приказом Минфина России от 06.12.2010 № 162н (далее - </w:t>
      </w:r>
      <w:hyperlink r:id="rId39" w:history="1">
        <w:r w:rsidR="00E65E0C" w:rsidRPr="00007C7D">
          <w:rPr>
            <w:rStyle w:val="a4"/>
            <w:sz w:val="28"/>
            <w:szCs w:val="28"/>
          </w:rPr>
          <w:t>Инструкция</w:t>
        </w:r>
      </w:hyperlink>
      <w:r w:rsidR="00E65E0C" w:rsidRPr="00007C7D">
        <w:rPr>
          <w:sz w:val="28"/>
          <w:szCs w:val="28"/>
        </w:rPr>
        <w:t xml:space="preserve"> № 162н);</w:t>
      </w:r>
    </w:p>
    <w:p w:rsidR="00E65E0C" w:rsidRPr="00007C7D" w:rsidRDefault="00E65E0C" w:rsidP="00E65E0C">
      <w:pPr>
        <w:pStyle w:val="a3"/>
        <w:numPr>
          <w:ilvl w:val="0"/>
          <w:numId w:val="2"/>
        </w:numPr>
        <w:spacing w:before="0" w:after="0" w:line="240" w:lineRule="auto"/>
        <w:ind w:firstLine="567"/>
        <w:jc w:val="both"/>
        <w:rPr>
          <w:sz w:val="28"/>
          <w:szCs w:val="28"/>
        </w:rPr>
      </w:pPr>
      <w:r w:rsidRPr="00007C7D">
        <w:rPr>
          <w:sz w:val="28"/>
          <w:szCs w:val="28"/>
        </w:rPr>
        <w:lastRenderedPageBreak/>
        <w:t xml:space="preserve">Методические </w:t>
      </w:r>
      <w:hyperlink r:id="rId40" w:history="1">
        <w:r w:rsidRPr="00007C7D">
          <w:rPr>
            <w:rStyle w:val="a4"/>
            <w:sz w:val="28"/>
            <w:szCs w:val="28"/>
          </w:rPr>
          <w:t>указания</w:t>
        </w:r>
      </w:hyperlink>
      <w:r w:rsidRPr="00007C7D">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w:t>
      </w:r>
    </w:p>
    <w:p w:rsidR="00E65E0C" w:rsidRPr="00007C7D" w:rsidRDefault="00E65E0C" w:rsidP="00E65E0C">
      <w:pPr>
        <w:pStyle w:val="a3"/>
        <w:spacing w:before="0" w:after="0" w:line="240" w:lineRule="auto"/>
        <w:ind w:firstLine="0"/>
        <w:jc w:val="both"/>
        <w:rPr>
          <w:sz w:val="28"/>
          <w:szCs w:val="28"/>
        </w:rPr>
      </w:pPr>
      <w:r w:rsidRPr="00007C7D">
        <w:rPr>
          <w:sz w:val="28"/>
          <w:szCs w:val="28"/>
        </w:rPr>
        <w:t xml:space="preserve">самоуправления, органами управления государственными внебюджетными фондами, государственными (муниципальными) учреждениями (Приложение №5 к Приказу Минфина России от 30.03.2015 № 52н) (далее - Методические </w:t>
      </w:r>
      <w:hyperlink r:id="rId41" w:history="1">
        <w:r w:rsidRPr="00007C7D">
          <w:rPr>
            <w:rStyle w:val="a4"/>
            <w:sz w:val="28"/>
            <w:szCs w:val="28"/>
          </w:rPr>
          <w:t>указания</w:t>
        </w:r>
      </w:hyperlink>
      <w:r w:rsidRPr="00007C7D">
        <w:rPr>
          <w:sz w:val="28"/>
          <w:szCs w:val="28"/>
        </w:rPr>
        <w:t xml:space="preserve"> № 52н);</w:t>
      </w:r>
    </w:p>
    <w:p w:rsidR="00E65E0C" w:rsidRPr="00007C7D" w:rsidRDefault="00E87040" w:rsidP="00E65E0C">
      <w:pPr>
        <w:pStyle w:val="a3"/>
        <w:numPr>
          <w:ilvl w:val="0"/>
          <w:numId w:val="2"/>
        </w:numPr>
        <w:spacing w:before="0" w:after="0" w:line="240" w:lineRule="auto"/>
        <w:ind w:firstLine="567"/>
        <w:jc w:val="both"/>
        <w:rPr>
          <w:sz w:val="28"/>
          <w:szCs w:val="28"/>
        </w:rPr>
      </w:pPr>
      <w:hyperlink r:id="rId42" w:history="1">
        <w:r w:rsidR="00E65E0C" w:rsidRPr="00007C7D">
          <w:rPr>
            <w:rStyle w:val="a4"/>
            <w:sz w:val="28"/>
            <w:szCs w:val="28"/>
          </w:rPr>
          <w:t>Инструкция</w:t>
        </w:r>
      </w:hyperlink>
      <w:r w:rsidR="00E65E0C" w:rsidRPr="00007C7D">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3" w:history="1">
        <w:r w:rsidR="00E65E0C" w:rsidRPr="00007C7D">
          <w:rPr>
            <w:rStyle w:val="a4"/>
            <w:sz w:val="28"/>
            <w:szCs w:val="28"/>
          </w:rPr>
          <w:t>Инструкция</w:t>
        </w:r>
      </w:hyperlink>
      <w:r w:rsidR="00E65E0C" w:rsidRPr="00007C7D">
        <w:rPr>
          <w:sz w:val="28"/>
          <w:szCs w:val="28"/>
        </w:rPr>
        <w:t xml:space="preserve"> № 191н);</w:t>
      </w:r>
    </w:p>
    <w:p w:rsidR="00E65E0C" w:rsidRPr="00007C7D" w:rsidRDefault="00E87040" w:rsidP="00E65E0C">
      <w:pPr>
        <w:pStyle w:val="a3"/>
        <w:numPr>
          <w:ilvl w:val="0"/>
          <w:numId w:val="2"/>
        </w:numPr>
        <w:spacing w:before="0" w:after="0" w:line="240" w:lineRule="auto"/>
        <w:ind w:firstLine="567"/>
        <w:jc w:val="both"/>
        <w:rPr>
          <w:sz w:val="28"/>
          <w:szCs w:val="28"/>
        </w:rPr>
      </w:pPr>
      <w:hyperlink r:id="rId44" w:history="1">
        <w:r w:rsidR="00E65E0C" w:rsidRPr="00007C7D">
          <w:rPr>
            <w:rStyle w:val="a4"/>
            <w:sz w:val="28"/>
            <w:szCs w:val="28"/>
          </w:rPr>
          <w:t>Порядок</w:t>
        </w:r>
      </w:hyperlink>
      <w:r w:rsidR="00E65E0C" w:rsidRPr="00007C7D">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5" w:history="1">
        <w:r w:rsidR="00E65E0C" w:rsidRPr="00007C7D">
          <w:rPr>
            <w:rStyle w:val="a4"/>
            <w:sz w:val="28"/>
            <w:szCs w:val="28"/>
          </w:rPr>
          <w:t>Порядок</w:t>
        </w:r>
      </w:hyperlink>
      <w:r w:rsidR="00E65E0C" w:rsidRPr="00007C7D">
        <w:rPr>
          <w:sz w:val="28"/>
          <w:szCs w:val="28"/>
        </w:rPr>
        <w:t xml:space="preserve"> № 132н);</w:t>
      </w:r>
    </w:p>
    <w:p w:rsidR="00E65E0C" w:rsidRPr="00D2268C" w:rsidRDefault="00E87040" w:rsidP="00DF2B92">
      <w:pPr>
        <w:pStyle w:val="a3"/>
        <w:numPr>
          <w:ilvl w:val="0"/>
          <w:numId w:val="2"/>
        </w:numPr>
        <w:spacing w:before="0" w:after="0" w:line="240" w:lineRule="auto"/>
        <w:ind w:firstLine="567"/>
        <w:jc w:val="both"/>
        <w:rPr>
          <w:b/>
          <w:sz w:val="28"/>
          <w:szCs w:val="28"/>
        </w:rPr>
      </w:pPr>
      <w:hyperlink r:id="rId46" w:history="1">
        <w:r w:rsidR="00E65E0C" w:rsidRPr="00D2268C">
          <w:rPr>
            <w:rStyle w:val="a4"/>
            <w:sz w:val="28"/>
            <w:szCs w:val="28"/>
          </w:rPr>
          <w:t>Порядок</w:t>
        </w:r>
      </w:hyperlink>
      <w:r w:rsidR="00E65E0C" w:rsidRPr="00D2268C">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7" w:history="1">
        <w:r w:rsidR="00E65E0C" w:rsidRPr="00D2268C">
          <w:rPr>
            <w:rStyle w:val="a4"/>
            <w:sz w:val="28"/>
            <w:szCs w:val="28"/>
          </w:rPr>
          <w:t>Порядок</w:t>
        </w:r>
      </w:hyperlink>
      <w:r w:rsidR="00E65E0C" w:rsidRPr="00D2268C">
        <w:rPr>
          <w:sz w:val="28"/>
          <w:szCs w:val="28"/>
        </w:rPr>
        <w:t xml:space="preserve"> применения КОСГУ, </w:t>
      </w:r>
      <w:hyperlink r:id="rId48" w:history="1">
        <w:r w:rsidR="00E65E0C" w:rsidRPr="00D2268C">
          <w:rPr>
            <w:rStyle w:val="a4"/>
            <w:sz w:val="28"/>
            <w:szCs w:val="28"/>
          </w:rPr>
          <w:t>Порядок</w:t>
        </w:r>
      </w:hyperlink>
      <w:r w:rsidR="00E65E0C" w:rsidRPr="00D2268C">
        <w:rPr>
          <w:sz w:val="28"/>
          <w:szCs w:val="28"/>
        </w:rPr>
        <w:t xml:space="preserve"> № 209н) с учетом изменения бюджетной классификации на основании Приказа Минфина России от 24.09.2021 №</w:t>
      </w:r>
      <w:r w:rsidR="00DF2B92" w:rsidRPr="00D2268C">
        <w:rPr>
          <w:sz w:val="28"/>
          <w:szCs w:val="28"/>
        </w:rPr>
        <w:t xml:space="preserve"> 133н «</w:t>
      </w:r>
      <w:r w:rsidR="00E65E0C" w:rsidRPr="00D2268C">
        <w:rPr>
          <w:sz w:val="28"/>
          <w:szCs w:val="28"/>
        </w:rPr>
        <w:t xml:space="preserve">О внесении изменений в Порядок применения классификации операций сектора государственного управления, утвержденный приказом Министерства финансов Российской </w:t>
      </w:r>
      <w:r w:rsidR="00DF2B92" w:rsidRPr="00D2268C">
        <w:rPr>
          <w:sz w:val="28"/>
          <w:szCs w:val="28"/>
        </w:rPr>
        <w:t>Федерации от 29 ноября 2017  № 209н»</w:t>
      </w:r>
      <w:r w:rsidR="00E65E0C" w:rsidRPr="00D2268C">
        <w:rPr>
          <w:sz w:val="28"/>
          <w:szCs w:val="28"/>
        </w:rPr>
        <w:t xml:space="preserve">. </w:t>
      </w:r>
    </w:p>
    <w:p w:rsidR="00E65E0C" w:rsidRPr="00BD561E" w:rsidRDefault="00E65E0C" w:rsidP="00E65E0C">
      <w:pPr>
        <w:pStyle w:val="a3"/>
        <w:spacing w:before="0" w:after="0" w:line="240" w:lineRule="auto"/>
        <w:ind w:firstLine="0"/>
        <w:jc w:val="center"/>
        <w:rPr>
          <w:b/>
          <w:sz w:val="28"/>
          <w:szCs w:val="28"/>
        </w:rPr>
      </w:pPr>
      <w:r w:rsidRPr="00BD561E">
        <w:rPr>
          <w:b/>
          <w:sz w:val="28"/>
          <w:szCs w:val="28"/>
        </w:rPr>
        <w:t>В учетную политику входят основные положения:</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документальное оформление, </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учет не финансовых активов (основные средства, материальные запасы, </w:t>
      </w:r>
      <w:r w:rsidRPr="00E65E0C">
        <w:rPr>
          <w:sz w:val="28"/>
          <w:szCs w:val="28"/>
        </w:rPr>
        <w:t>нематериальные активы, обесценение</w:t>
      </w:r>
      <w:r w:rsidRPr="00BD561E">
        <w:rPr>
          <w:sz w:val="28"/>
          <w:szCs w:val="28"/>
        </w:rPr>
        <w:t xml:space="preserve"> активов), </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учет доходов  (расчеты с дебиторами по доходам), </w:t>
      </w:r>
    </w:p>
    <w:p w:rsidR="00E65E0C" w:rsidRPr="00BD561E" w:rsidRDefault="00E65E0C" w:rsidP="00E65E0C">
      <w:pPr>
        <w:pStyle w:val="a3"/>
        <w:spacing w:before="0" w:after="0" w:line="240" w:lineRule="auto"/>
        <w:ind w:firstLine="0"/>
        <w:jc w:val="both"/>
        <w:rPr>
          <w:sz w:val="28"/>
          <w:szCs w:val="28"/>
        </w:rPr>
      </w:pPr>
      <w:r w:rsidRPr="00BD561E">
        <w:rPr>
          <w:sz w:val="28"/>
          <w:szCs w:val="28"/>
        </w:rPr>
        <w:t>- учет движения финансовых активов (денежные средства, денежные эквиваленты и денежные документы),</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учет движения обязательств (операции с безналичными денежными средствами, расчёты с дебиторами и кредиторами, расчеты по оплате труда, </w:t>
      </w:r>
      <w:r w:rsidRPr="00E65E0C">
        <w:rPr>
          <w:sz w:val="28"/>
          <w:szCs w:val="28"/>
        </w:rPr>
        <w:t>расчеты с прочими кредиторами</w:t>
      </w:r>
      <w:r w:rsidRPr="00BD561E">
        <w:rPr>
          <w:sz w:val="28"/>
          <w:szCs w:val="28"/>
        </w:rPr>
        <w:t>),</w:t>
      </w:r>
    </w:p>
    <w:p w:rsidR="00E65E0C" w:rsidRPr="00BD561E" w:rsidRDefault="00E65E0C" w:rsidP="00E65E0C">
      <w:pPr>
        <w:pStyle w:val="a3"/>
        <w:spacing w:before="0" w:after="0" w:line="240" w:lineRule="auto"/>
        <w:ind w:firstLine="0"/>
        <w:jc w:val="both"/>
        <w:rPr>
          <w:sz w:val="28"/>
          <w:szCs w:val="28"/>
        </w:rPr>
      </w:pPr>
      <w:r w:rsidRPr="00BD561E">
        <w:rPr>
          <w:sz w:val="28"/>
          <w:szCs w:val="28"/>
        </w:rPr>
        <w:t>- санкционирование расходов (регистрация расходов (регистрация обязательств)</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особенности </w:t>
      </w:r>
      <w:proofErr w:type="spellStart"/>
      <w:r w:rsidRPr="00BD561E">
        <w:rPr>
          <w:sz w:val="28"/>
          <w:szCs w:val="28"/>
        </w:rPr>
        <w:t>забалансового</w:t>
      </w:r>
      <w:proofErr w:type="spellEnd"/>
      <w:r w:rsidRPr="00BD561E">
        <w:rPr>
          <w:sz w:val="28"/>
          <w:szCs w:val="28"/>
        </w:rPr>
        <w:t xml:space="preserve"> учета,</w:t>
      </w:r>
    </w:p>
    <w:p w:rsidR="00E65E0C" w:rsidRPr="00BD561E" w:rsidRDefault="00E65E0C" w:rsidP="00E65E0C">
      <w:pPr>
        <w:pStyle w:val="a3"/>
        <w:spacing w:before="0" w:after="0" w:line="240" w:lineRule="auto"/>
        <w:ind w:firstLine="0"/>
        <w:jc w:val="both"/>
        <w:rPr>
          <w:sz w:val="28"/>
          <w:szCs w:val="28"/>
        </w:rPr>
      </w:pPr>
      <w:r w:rsidRPr="00BD561E">
        <w:rPr>
          <w:sz w:val="28"/>
          <w:szCs w:val="28"/>
        </w:rPr>
        <w:t>- формирование бухгалтерской отчетности,</w:t>
      </w:r>
    </w:p>
    <w:p w:rsidR="00E65E0C" w:rsidRPr="00BD561E" w:rsidRDefault="00E65E0C" w:rsidP="00E65E0C">
      <w:pPr>
        <w:pStyle w:val="a3"/>
        <w:spacing w:before="0" w:after="0" w:line="240" w:lineRule="auto"/>
        <w:ind w:firstLine="0"/>
        <w:jc w:val="both"/>
        <w:rPr>
          <w:sz w:val="28"/>
          <w:szCs w:val="28"/>
        </w:rPr>
      </w:pPr>
      <w:r w:rsidRPr="00BD561E">
        <w:rPr>
          <w:sz w:val="28"/>
          <w:szCs w:val="28"/>
        </w:rPr>
        <w:t>- аренда,</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исправление ошибок, </w:t>
      </w:r>
    </w:p>
    <w:p w:rsidR="00E65E0C" w:rsidRPr="00BD561E" w:rsidRDefault="00E65E0C" w:rsidP="00E65E0C">
      <w:pPr>
        <w:pStyle w:val="a3"/>
        <w:spacing w:before="0" w:after="0" w:line="240" w:lineRule="auto"/>
        <w:ind w:firstLine="0"/>
        <w:jc w:val="both"/>
        <w:rPr>
          <w:sz w:val="28"/>
          <w:szCs w:val="28"/>
        </w:rPr>
      </w:pPr>
      <w:r w:rsidRPr="00BD561E">
        <w:rPr>
          <w:sz w:val="28"/>
          <w:szCs w:val="28"/>
        </w:rPr>
        <w:t xml:space="preserve">- внутренний финансовый контроль, </w:t>
      </w:r>
    </w:p>
    <w:p w:rsidR="00E65E0C" w:rsidRPr="00BD561E" w:rsidRDefault="00E65E0C" w:rsidP="00E65E0C">
      <w:pPr>
        <w:pStyle w:val="a3"/>
        <w:spacing w:before="0" w:after="0" w:line="240" w:lineRule="auto"/>
        <w:ind w:firstLine="0"/>
        <w:jc w:val="both"/>
        <w:rPr>
          <w:sz w:val="28"/>
          <w:szCs w:val="28"/>
        </w:rPr>
      </w:pPr>
      <w:r w:rsidRPr="00BD561E">
        <w:rPr>
          <w:sz w:val="28"/>
          <w:szCs w:val="28"/>
        </w:rPr>
        <w:t>- изменение учётной политики.</w:t>
      </w:r>
    </w:p>
    <w:p w:rsidR="00E65E0C" w:rsidRPr="00BD561E" w:rsidRDefault="00E65E0C" w:rsidP="00E65E0C">
      <w:pPr>
        <w:pStyle w:val="a3"/>
        <w:spacing w:before="0" w:after="0" w:line="240" w:lineRule="auto"/>
        <w:ind w:firstLine="0"/>
        <w:jc w:val="both"/>
        <w:rPr>
          <w:sz w:val="28"/>
          <w:szCs w:val="28"/>
        </w:rPr>
      </w:pPr>
    </w:p>
    <w:p w:rsidR="00E65E0C" w:rsidRPr="00E65E0C" w:rsidRDefault="00E65E0C" w:rsidP="00E65E0C">
      <w:pPr>
        <w:pStyle w:val="a3"/>
        <w:numPr>
          <w:ilvl w:val="0"/>
          <w:numId w:val="2"/>
        </w:numPr>
        <w:spacing w:after="0" w:line="240" w:lineRule="auto"/>
        <w:jc w:val="center"/>
        <w:rPr>
          <w:b/>
          <w:color w:val="FF0000"/>
          <w:sz w:val="28"/>
          <w:szCs w:val="28"/>
        </w:rPr>
      </w:pPr>
    </w:p>
    <w:p w:rsidR="00550443" w:rsidRDefault="00550443"/>
    <w:sectPr w:rsidR="0055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4F3F770A"/>
    <w:multiLevelType w:val="multilevel"/>
    <w:tmpl w:val="DDD83DB8"/>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621477C0"/>
    <w:multiLevelType w:val="multilevel"/>
    <w:tmpl w:val="ADAC1412"/>
    <w:lvl w:ilvl="0">
      <w:start w:val="1"/>
      <w:numFmt w:val="decimal"/>
      <w:lvlText w:val="%1"/>
      <w:lvlJc w:val="left"/>
      <w:pPr>
        <w:ind w:left="600" w:hanging="600"/>
      </w:pPr>
      <w:rPr>
        <w:rFonts w:hint="default"/>
      </w:rPr>
    </w:lvl>
    <w:lvl w:ilvl="1">
      <w:start w:val="1"/>
      <w:numFmt w:val="decimal"/>
      <w:lvlText w:val="%1.%2"/>
      <w:lvlJc w:val="left"/>
      <w:pPr>
        <w:ind w:left="841" w:hanging="60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4088" w:hanging="2160"/>
      </w:pPr>
      <w:rPr>
        <w:rFonts w:hint="default"/>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F0"/>
    <w:rsid w:val="001214F0"/>
    <w:rsid w:val="003430FC"/>
    <w:rsid w:val="00550443"/>
    <w:rsid w:val="00D2268C"/>
    <w:rsid w:val="00DF2B92"/>
    <w:rsid w:val="00E65E0C"/>
    <w:rsid w:val="00E8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0C"/>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E65E0C"/>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E65E0C"/>
    <w:pPr>
      <w:numPr>
        <w:ilvl w:val="1"/>
        <w:numId w:val="1"/>
      </w:numPr>
      <w:outlineLvl w:val="1"/>
    </w:pPr>
    <w:rPr>
      <w:bCs/>
      <w:szCs w:val="26"/>
    </w:rPr>
  </w:style>
  <w:style w:type="paragraph" w:styleId="3">
    <w:name w:val="heading 3"/>
    <w:basedOn w:val="a"/>
    <w:next w:val="a"/>
    <w:link w:val="30"/>
    <w:uiPriority w:val="9"/>
    <w:qFormat/>
    <w:rsid w:val="00E65E0C"/>
    <w:pPr>
      <w:numPr>
        <w:ilvl w:val="2"/>
        <w:numId w:val="1"/>
      </w:numPr>
      <w:outlineLvl w:val="2"/>
    </w:pPr>
    <w:rPr>
      <w:bCs/>
    </w:rPr>
  </w:style>
  <w:style w:type="paragraph" w:styleId="4">
    <w:name w:val="heading 4"/>
    <w:basedOn w:val="a"/>
    <w:next w:val="a"/>
    <w:link w:val="40"/>
    <w:uiPriority w:val="9"/>
    <w:qFormat/>
    <w:rsid w:val="00E65E0C"/>
    <w:pPr>
      <w:numPr>
        <w:ilvl w:val="3"/>
        <w:numId w:val="1"/>
      </w:numPr>
      <w:outlineLvl w:val="3"/>
    </w:pPr>
    <w:rPr>
      <w:bCs/>
      <w:iCs/>
    </w:rPr>
  </w:style>
  <w:style w:type="paragraph" w:styleId="5">
    <w:name w:val="heading 5"/>
    <w:basedOn w:val="a"/>
    <w:next w:val="a"/>
    <w:link w:val="50"/>
    <w:uiPriority w:val="9"/>
    <w:qFormat/>
    <w:rsid w:val="00E65E0C"/>
    <w:pPr>
      <w:keepNext/>
      <w:keepLines/>
      <w:numPr>
        <w:ilvl w:val="4"/>
        <w:numId w:val="1"/>
      </w:numPr>
      <w:spacing w:before="200" w:after="0"/>
      <w:outlineLvl w:val="4"/>
    </w:pPr>
  </w:style>
  <w:style w:type="paragraph" w:styleId="6">
    <w:name w:val="heading 6"/>
    <w:basedOn w:val="a"/>
    <w:next w:val="a"/>
    <w:link w:val="60"/>
    <w:uiPriority w:val="9"/>
    <w:qFormat/>
    <w:rsid w:val="00E65E0C"/>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E65E0C"/>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E65E0C"/>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E65E0C"/>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E0C"/>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65E0C"/>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65E0C"/>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65E0C"/>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65E0C"/>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65E0C"/>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65E0C"/>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65E0C"/>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65E0C"/>
    <w:rPr>
      <w:rFonts w:ascii="Times New Roman" w:eastAsia="Times New Roman" w:hAnsi="Times New Roman" w:cs="Times New Roman"/>
      <w:i/>
      <w:iCs/>
      <w:color w:val="404040"/>
      <w:szCs w:val="20"/>
      <w:lang w:eastAsia="ru-RU"/>
    </w:rPr>
  </w:style>
  <w:style w:type="paragraph" w:styleId="a3">
    <w:name w:val="List Paragraph"/>
    <w:basedOn w:val="a"/>
    <w:uiPriority w:val="34"/>
    <w:qFormat/>
    <w:rsid w:val="00E65E0C"/>
    <w:pPr>
      <w:contextualSpacing/>
      <w:jc w:val="left"/>
    </w:pPr>
  </w:style>
  <w:style w:type="character" w:styleId="a4">
    <w:name w:val="Hyperlink"/>
    <w:uiPriority w:val="99"/>
    <w:unhideWhenUsed/>
    <w:rsid w:val="00E65E0C"/>
    <w:rPr>
      <w:color w:val="0000FF"/>
      <w:u w:val="single"/>
    </w:rPr>
  </w:style>
  <w:style w:type="paragraph" w:styleId="a5">
    <w:name w:val="Balloon Text"/>
    <w:basedOn w:val="a"/>
    <w:link w:val="a6"/>
    <w:uiPriority w:val="99"/>
    <w:semiHidden/>
    <w:unhideWhenUsed/>
    <w:rsid w:val="003430FC"/>
    <w:pPr>
      <w:spacing w:before="0"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30F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0C"/>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E65E0C"/>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E65E0C"/>
    <w:pPr>
      <w:numPr>
        <w:ilvl w:val="1"/>
        <w:numId w:val="1"/>
      </w:numPr>
      <w:outlineLvl w:val="1"/>
    </w:pPr>
    <w:rPr>
      <w:bCs/>
      <w:szCs w:val="26"/>
    </w:rPr>
  </w:style>
  <w:style w:type="paragraph" w:styleId="3">
    <w:name w:val="heading 3"/>
    <w:basedOn w:val="a"/>
    <w:next w:val="a"/>
    <w:link w:val="30"/>
    <w:uiPriority w:val="9"/>
    <w:qFormat/>
    <w:rsid w:val="00E65E0C"/>
    <w:pPr>
      <w:numPr>
        <w:ilvl w:val="2"/>
        <w:numId w:val="1"/>
      </w:numPr>
      <w:outlineLvl w:val="2"/>
    </w:pPr>
    <w:rPr>
      <w:bCs/>
    </w:rPr>
  </w:style>
  <w:style w:type="paragraph" w:styleId="4">
    <w:name w:val="heading 4"/>
    <w:basedOn w:val="a"/>
    <w:next w:val="a"/>
    <w:link w:val="40"/>
    <w:uiPriority w:val="9"/>
    <w:qFormat/>
    <w:rsid w:val="00E65E0C"/>
    <w:pPr>
      <w:numPr>
        <w:ilvl w:val="3"/>
        <w:numId w:val="1"/>
      </w:numPr>
      <w:outlineLvl w:val="3"/>
    </w:pPr>
    <w:rPr>
      <w:bCs/>
      <w:iCs/>
    </w:rPr>
  </w:style>
  <w:style w:type="paragraph" w:styleId="5">
    <w:name w:val="heading 5"/>
    <w:basedOn w:val="a"/>
    <w:next w:val="a"/>
    <w:link w:val="50"/>
    <w:uiPriority w:val="9"/>
    <w:qFormat/>
    <w:rsid w:val="00E65E0C"/>
    <w:pPr>
      <w:keepNext/>
      <w:keepLines/>
      <w:numPr>
        <w:ilvl w:val="4"/>
        <w:numId w:val="1"/>
      </w:numPr>
      <w:spacing w:before="200" w:after="0"/>
      <w:outlineLvl w:val="4"/>
    </w:pPr>
  </w:style>
  <w:style w:type="paragraph" w:styleId="6">
    <w:name w:val="heading 6"/>
    <w:basedOn w:val="a"/>
    <w:next w:val="a"/>
    <w:link w:val="60"/>
    <w:uiPriority w:val="9"/>
    <w:qFormat/>
    <w:rsid w:val="00E65E0C"/>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E65E0C"/>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E65E0C"/>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E65E0C"/>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E0C"/>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65E0C"/>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65E0C"/>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65E0C"/>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65E0C"/>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65E0C"/>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65E0C"/>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65E0C"/>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65E0C"/>
    <w:rPr>
      <w:rFonts w:ascii="Times New Roman" w:eastAsia="Times New Roman" w:hAnsi="Times New Roman" w:cs="Times New Roman"/>
      <w:i/>
      <w:iCs/>
      <w:color w:val="404040"/>
      <w:szCs w:val="20"/>
      <w:lang w:eastAsia="ru-RU"/>
    </w:rPr>
  </w:style>
  <w:style w:type="paragraph" w:styleId="a3">
    <w:name w:val="List Paragraph"/>
    <w:basedOn w:val="a"/>
    <w:uiPriority w:val="34"/>
    <w:qFormat/>
    <w:rsid w:val="00E65E0C"/>
    <w:pPr>
      <w:contextualSpacing/>
      <w:jc w:val="left"/>
    </w:pPr>
  </w:style>
  <w:style w:type="character" w:styleId="a4">
    <w:name w:val="Hyperlink"/>
    <w:uiPriority w:val="99"/>
    <w:unhideWhenUsed/>
    <w:rsid w:val="00E65E0C"/>
    <w:rPr>
      <w:color w:val="0000FF"/>
      <w:u w:val="single"/>
    </w:rPr>
  </w:style>
  <w:style w:type="paragraph" w:styleId="a5">
    <w:name w:val="Balloon Text"/>
    <w:basedOn w:val="a"/>
    <w:link w:val="a6"/>
    <w:uiPriority w:val="99"/>
    <w:semiHidden/>
    <w:unhideWhenUsed/>
    <w:rsid w:val="003430FC"/>
    <w:pPr>
      <w:spacing w:before="0"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30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8" Type="http://schemas.openxmlformats.org/officeDocument/2006/relationships/hyperlink" Target="consultantplus://offline/ref=9C7655E420F9728E96667330E6A8202570FD15495B606FB73813E43218684505310512C38D6541F0AAB822A57D87A2156390B60A161DF7EBL4n9G" TargetMode="External"/><Relationship Id="rId26" Type="http://schemas.openxmlformats.org/officeDocument/2006/relationships/hyperlink" Target="consultantplus://offline/ref=9C7655E420F9728E96667330E6A8202570FD15495B606FB73813E43218684505310512C38D6541F0AAB822A57D87A2156390B60A161DF7EBL4n9G" TargetMode="External"/><Relationship Id="rId3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 Type="http://schemas.microsoft.com/office/2007/relationships/stylesWithEffects" Target="stylesWithEffects.xml"/><Relationship Id="rId2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4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0" Type="http://schemas.openxmlformats.org/officeDocument/2006/relationships/theme" Target="theme/theme1.xml"/><Relationship Id="rId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2" Type="http://schemas.openxmlformats.org/officeDocument/2006/relationships/hyperlink" Target="consultantplus://offline/ref=9C7655E420F9728E96667330E6A8202570FD15495B606FB73813E43218684505310512C38D6541F0AAB822A57D87A2156390B60A161DF7EBL4n9G" TargetMode="External"/><Relationship Id="rId1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 Type="http://schemas.openxmlformats.org/officeDocument/2006/relationships/styles" Target="styles.xml"/><Relationship Id="rId16" Type="http://schemas.openxmlformats.org/officeDocument/2006/relationships/hyperlink" Target="consultantplus://offline/ref=9C7655E420F9728E96667330E6A8202570FD15495B606FB73813E43218684505310512C38D6541F0AAB822A57D87A2156390B60A161DF7EBL4n9G" TargetMode="External"/><Relationship Id="rId20" Type="http://schemas.openxmlformats.org/officeDocument/2006/relationships/hyperlink" Target="consultantplus://offline/ref=9C7655E420F9728E96667330E6A8202570FD15495B606FB73813E43218684505310512C38D6541F0AAB822A57D87A2156390B60A161DF7EBL4n9G" TargetMode="External"/><Relationship Id="rId29" Type="http://schemas.openxmlformats.org/officeDocument/2006/relationships/hyperlink" Target="consultantplus://offline/ref=9C7655E420F9728E96667330E6A8202570FD15495B606FB73813E43218684505310512C38D6541F0AAB822A57D87A2156390B60A161DF7EBL4n9G"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4" Type="http://schemas.openxmlformats.org/officeDocument/2006/relationships/hyperlink" Target="consultantplus://offline/ref=9C7655E420F9728E96667330E6A8202570FD15495B606FB73813E43218684505310512C38D6541F0AAB822A57D87A2156390B60A161DF7EBL4n9G"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8" Type="http://schemas.openxmlformats.org/officeDocument/2006/relationships/hyperlink" Target="consultantplus://offline/ref=9C7655E420F9728E96667330E6A8202570FD15495B606FB73813E43218684505310512C38D6541F0AAB822A57D87A2156390B60A161DF7EBL4n9G"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9" Type="http://schemas.openxmlformats.org/officeDocument/2006/relationships/fontTable" Target="fontTable.xml"/><Relationship Id="rId10" Type="http://schemas.openxmlformats.org/officeDocument/2006/relationships/hyperlink" Target="consultantplus://offline/ref=9C7655E420F9728E96667330E6A8202570FD15495B606FB73813E43218684505310512C38D6541F0AAB822A57D87A2156390B60A161DF7EBL4n9G" TargetMode="External"/><Relationship Id="rId1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1" Type="http://schemas.openxmlformats.org/officeDocument/2006/relationships/hyperlink" Target="consultantplus://offline/ref=9C7655E420F9728E96667330E6A8202570FD15495B606FB73813E43218684505310512C38D6541F0AAB822A57D87A2156390B60A161DF7EBL4n9G" TargetMode="External"/><Relationship Id="rId4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4" Type="http://schemas.openxmlformats.org/officeDocument/2006/relationships/hyperlink" Target="consultantplus://offline/ref=9C7655E420F9728E96667330E6A8202570FD15495B606FB73813E43218684505310512C38D6541F0AAB822A57D87A2156390B60A161DF7EBL4n9G" TargetMode="External"/><Relationship Id="rId22" Type="http://schemas.openxmlformats.org/officeDocument/2006/relationships/hyperlink" Target="consultantplus://offline/ref=9C7655E420F9728E96667330E6A8202570FD15495B606FB73813E43218684505310512C38D6541F0AAB822A57D87A2156390B60A161DF7EBL4n9G" TargetMode="External"/><Relationship Id="rId2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0" Type="http://schemas.openxmlformats.org/officeDocument/2006/relationships/hyperlink" Target="consultantplus://offline/ref=9C7655E420F9728E96667330E6A8202570FD15495B606FB73813E43218684505310512C38D6541F0AAB822A57D87A2156390B60A161DF7EBL4n9G" TargetMode="External"/><Relationship Id="rId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4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 Type="http://schemas.openxmlformats.org/officeDocument/2006/relationships/hyperlink" Target="consultantplus://offline/ref=9C7655E420F9728E96667330E6A8202570FD15495B606FB73813E43218684505310512C38D6541F0AAB822A57D87A2156390B60A161DF7EBL4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Булакова</dc:creator>
  <cp:keywords/>
  <dc:description/>
  <cp:lastModifiedBy>ДКА</cp:lastModifiedBy>
  <cp:revision>6</cp:revision>
  <cp:lastPrinted>2021-12-30T10:43:00Z</cp:lastPrinted>
  <dcterms:created xsi:type="dcterms:W3CDTF">2021-12-30T09:03:00Z</dcterms:created>
  <dcterms:modified xsi:type="dcterms:W3CDTF">2021-12-30T10:59:00Z</dcterms:modified>
</cp:coreProperties>
</file>