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🔅</w:t>
      </w:r>
      <w:r>
        <w:rPr>
          <w:rFonts w:eastAsia="Times New Roman"/>
        </w:rPr>
        <w:t xml:space="preserve"> Обзор изменений в сфере государственных и корпоративных закупок с 1 октября 2022 г.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Представляем обзор изменений в сфере государственных и корпоративных закупок с 1 октября 2022 года.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📌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рамках 44-ФЗ: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В реестр контрактов теперь нужно включать данные: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 реквизитах счета поставщика, который есть в контракте;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 месте поставки товара, выполнения работы, оказания услуги;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 размере казначейского обеспечения контракта;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 праве на отказ от контракта;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▪️об условии об удержании начисленной и неуплаченной неустойки из стоимости по контракту (при наличии);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 размере налога, если сумма платежей по контракту подлежит уменьшению на сумму налога;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 документе, подтверждающего уплату неустойки;</w:t>
      </w: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▪️об адресе сайта суда, на котором размещено решение о расторжении контракта.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операторы площадок обязаны направлять заказчику сведения об участнике закупки в части данных о ликвидации и банкротстве;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истек срок направления в Минфин документов об участии в проверке на соответствие требованиями к операторам специализированных площадок.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📌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рамках 223-ФЗ до 1 октября 2022 г. положение о закупках нужно было привести в соответствие с новыми требованиями в отношении: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▪️независимых гарантий по закупкам для малого и среднего бизнеса в электронной форме;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▪️срока расчетов по договорам;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▪️порядка урегулирования конфликта интересов.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r>
        <w:rPr>
          <w:rFonts w:eastAsia="Times New Roman"/>
        </w:rPr>
        <w:t>С 1 октября 2022 г. правительство получило право установить особенности включения заказчиками в план закупки продукции, закупки которой не размещаются в открытой части ЕИС.</w:t>
      </w:r>
    </w:p>
    <w:p w:rsidR="00CE13F2" w:rsidRDefault="00CE13F2" w:rsidP="00CE13F2">
      <w:pPr>
        <w:rPr>
          <w:rFonts w:eastAsia="Times New Roman"/>
        </w:rPr>
      </w:pPr>
    </w:p>
    <w:p w:rsidR="00CE13F2" w:rsidRDefault="00CE13F2" w:rsidP="00CE13F2">
      <w:pPr>
        <w:rPr>
          <w:rFonts w:eastAsia="Times New Roman"/>
        </w:rPr>
      </w:pPr>
      <w:hyperlink r:id="rId4" w:history="1">
        <w:r>
          <w:rPr>
            <w:rStyle w:val="a3"/>
            <w:rFonts w:eastAsia="Times New Roman"/>
          </w:rPr>
          <w:t>https://gkgz.ru/obzor-izmenenij-v-sfere-gosudarstvennyh-i-korporativnyh-zakupok-s-1-oktyabrya-2022-g/</w:t>
        </w:r>
      </w:hyperlink>
    </w:p>
    <w:p w:rsidR="00CE13F2" w:rsidRDefault="00CE13F2" w:rsidP="00CE13F2">
      <w:pPr>
        <w:rPr>
          <w:rFonts w:eastAsia="Times New Roman"/>
        </w:rPr>
      </w:pPr>
    </w:p>
    <w:p w:rsidR="005C02E4" w:rsidRPr="00CE13F2" w:rsidRDefault="005C02E4" w:rsidP="00CE13F2">
      <w:bookmarkStart w:id="0" w:name="_GoBack"/>
      <w:bookmarkEnd w:id="0"/>
    </w:p>
    <w:sectPr w:rsidR="005C02E4" w:rsidRPr="00CE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4C"/>
    <w:rsid w:val="004F2B8D"/>
    <w:rsid w:val="005C02E4"/>
    <w:rsid w:val="0088384C"/>
    <w:rsid w:val="00C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17DA-0B1D-4605-B1C9-C627F74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gz.ru/obzor-izmenenij-v-sfere-gosudarstvennyh-i-korporativnyh-zakupok-s-1-oktyabrya-2022-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</dc:creator>
  <cp:keywords/>
  <dc:description/>
  <cp:lastModifiedBy>DKA</cp:lastModifiedBy>
  <cp:revision>5</cp:revision>
  <dcterms:created xsi:type="dcterms:W3CDTF">2022-09-30T08:06:00Z</dcterms:created>
  <dcterms:modified xsi:type="dcterms:W3CDTF">2022-10-03T07:14:00Z</dcterms:modified>
</cp:coreProperties>
</file>